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School Business Administrator review macroeconomic factors to determine acceptable parameters for budget-to-budget growth.  After these parameters are established the curricular needs of students are prioritized based upon the District's K-12 scope and sequence to determine building level needs for curricular consumables, texts, and software programming.  This follows the District's long-term strategic plan, and all district administrators work with building based decision making teams to establish building priorities that are addressed in the budget.   The budgeting process begins in November with a review of the current year's budget performance, and macroeconomic growth factors.  As elements such as state aid, tax cap factors, and benefit rates become more clear, these variables are weighed against the District's long term strategic plan and priorities.  This is done through several budget presentations to the board of education and a workshop where these variables are discussed.   The district does not use a formula to allocate funds, as the needs of various grade level and programmatic areas will vary and cannot be distributed via a flat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small, rural district, there are certain fixed costs associated with operating school buildings and fluctuations in class size/grade level enrollment will have a factor on the net per-pupil expense.  The districts per-pupil expenditure per building therefore has a direct relationship to the enrollment of the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