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School Business Administrator review macroeconomic factors to determine acceptable parameters for budget-to-budget growth.  After these parameters are established the curricular needs of students are prioritized based upon the District's K-12 scope and sequence to determine building level needs for curricular consumables, texts, and software programming.  This follows the District's long-term strategic plan, and all district administrators work with building based decision making teams to establish building priorities that are addressed in the budget.   The budgeting process begins in November with a review of the current year's budget performance, and macroeconomic growth factors.  As elements such as state aid, tax cap factors, and benefit rates become more clear, these variables are weighed against the District's long term strategic plan and priorities.  This is done through several budget presentations to the board of education and a workshop where these variables are discussed.   The district does not use a formula to allocate funds, as the needs of various grade level and programmatic areas will vary and cannot be distributed via a flat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a small, rural district, there are certain fixed costs associated with operating school buildings and fluctuations in class size/grade level enrollment will have a factor on the net per-pupil expense.  The districts per-pupil expenditure per building therefore has a direct relationship to the enrollment of the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