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During the budget process funding for textbooks, supplies and materials for Art, Music, and Athletics are allocated to the schools on a per pupil basis using the next year’s projected enrollment. Contractual services are budgeted on the basis of continuing needs. Other expenses for BOCES, administrative expenses, debt, salary, benefits, and other district wide codes are budgeted by the business office using estimated expenses and prior year actuals.  Special Education and ELL expenses are budgeted by the PPS office using individual student projected expenses.  This is reflected in both the required staffing levels at the respective buildings as well as in any needed out-of-district program expenses. Building budgets, Transportation, Facilities, Personnel, Board of Ed, Curriculum and Instruction, are all budgeted by the respective administrator in charge, based on a review of projected expenses with reference to prior year’s actual expenses. For most departments, the 2022-23 budget was built on a zero-based budgeted process. The school buildings are provided a total amount “guide” that is on a per pupil basis with adjustments annually for enrollment changes as well as a CPI increase. Any recommendations for new programs and/or changes in staffing levels are submitted to the Deputy Superintendent.  These changes are reviewed with the District Cabinet with recommendations ultimately being made to the Board of Education. All equipment requests are accompanied by detailed information in the budget code which specifies if it is new or replacement equipment and, if replacement, a description of what it is replacing.  Salaries and benefits increases are based on contractual obligations with modifications for any known specific changes in personnel (i.e. a retirement).  From an overall budgeting perspective the major controls regarding the overall framework of the budget include: the NYS tax cap, the projected state aid (initially based on the governor’s budget and ultimately the budget approved by the legislature) as well as a sustainable inclusion of savings (fund balance and/or reserves).  We continue to make a concerted effort again to develop a budget that minimizes any variance from the actual expenditures while at the same time including monies for unknown contingencies.   Additionally we have been allocating specific federal dollars from stimulus based on a plan developed with board and community input trying to maximize the dollars to classrooms and schools based on specific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unique aspect of West Irondequoit is the K-3 neighborhood model.  They are small schools with only 2 sections per grade.  Small changes in staffing, experience (which influences rate of pay) or both can have a large swing as compared to other buildings or a district-wide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