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Business Executive leads the budget development process.  Enrollment is looked at, and meetings with building principals and the director of Special Education are done.  The process begins in November, and the BOE approves the budget for a vote in April.  The School Business Executive leads the budget, special education is a big driver of spend, so a meeting is held with that department, BOCES amounts are a collaboration with the Superintendent and building principals.  Debt Services schedules are looked at, and a presentation to the Board of Education happens every month from November - April regarding each area of the budget.  Contracts for salaries are taken into consideration.  ESSA Grants and IDEA grants are discussed with their respective administrator.  No formula is used for individual schools.  We discuss the student's needs at each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