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no formula in place to allocate to the four schools in the district.  The district allocates funds based on the district initiatives, educational programs, student enrollment and needs of students estimated on previous years spending and projected changes staff and new initiatives.  Each Year around early January, the Superintendent and Business Administrator sits down with the Administrative team on an individual basis to access what changes have happened over the past 12 months. Programs and staff are reviewed. Class sizes are reviewed and tracked from year to year to adjust for an exceptionally small or large class. Recommendations are made to what budget lines could be reduced and what funding the building level administration would like to see added to make their programs stronger. All budget lines are looked at by comparing actual expenditures to budget for the last 3 to 5 years.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The Board has a finance committee that meets monthly year-round to help direct the decisions being made.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If a history teacher were to retire it may make funding available for a reading teacher to be hired.  This may change the staffing level across buildings.  The district has a very transient population with high needs.  It is necessary to allow for a high number of students to move into the district and receive services.  It is hard to predict at a building level what the increases will be so this is budgeted on a district wide level.  Most special needs services are purchased through the BOCES.  A high percentage of the hardware such as computers and xerox machines are leased through BOCES to generate a consistent aid stream. This helps to maximize the use of the districts funding and is budgeted on a building wide basis. For the 2021-2022 school year the district is continuing the UPK program that was new in 2020-2021 and expanded in 2022-2023.  The ESSER grant has funded many new initiatives to facilitate the students catching up due to the lost time of learning because of the pandemic.  More ESSER3 moneys were budgeted to be used in 2022-2023 than in 2021-2022 that will increase the level of spending.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notable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