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will set up a budget development calendar and provide it to all individuals involved. Meetings are scheduled with all building principals, directors, coordinators, other Assistant Superintendents, Superintendent of Schools, and any other individuals involved in the budget development. Each respective individual will prepare a budget for their respective building or area with all their needs and wants for the upcoming year. Each individual will discuss their respective budget with the Assistant Superintedent for Business.  Adjustments are made based on discussions. The Assistant Superintedent for Business will compile all the budgets, as well as the District wide expenditures and salaries into a proposed budget. The proposed budget is presented to the Superintendent of Schools and the Board of Education for review. Adjustments to the budget are made based on feedback from the Superintendent and Board. Once completed the budget is presented to the Board for adoption. In May, the proposed budget is presented to the voters for approval.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separte from the District, those needs are met through new hires and employee building transfers.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rate by school will vary based on the assigned employees (most staff have been assigned to their buildings from date of hire) and the make up of the student population. Therefore, some schools have employees that have been employed with the district for a longer period of time than others, These employees will be paid on a higher salary step than others. In addition, one school (Shaw Avenue) has the highest student enrollment so the average per pupil will be lower.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Valley Stream 30 UFSD ("VS30") is an elementary school district with Valley Stream Central High School District serving the District;s students after the 6th grade. In addition, the Valley Stream Central High School District operated the School Lunch Program within the VS30 buildings. VS30 does not incur any expenditure or generate any revenues from the school lunch program; all expenditures and revenues are recognized by the Valley Stream Central High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