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More than 60% of our budget consists of personnel and fringe benefits, so we begin the budget process with our focus on staffing.  Regular education staffing is based on enrollment, with input from the Director of Curriculum &amp; Instruction, as well as the building principals.  Special Education staffing is allocated to schools based on the number of special needs student per building, with input from the Director of Special Education, as well as our building principals.  Staffing for our ENL population is done in the same manner stated above.  Our main goal is to keep class sizes to numbers that are conducive to meeting the educational needs of students, and give equal amounts of support staff to each building.  Once staffing is complete we calculate our employees fringe benefits.  We base these on the estimated contribution rates we receive from NYS Teachers, and Employees retirement systems.  Then we meet with our Health Insurance carrier to review our cost.  The next step is to review our transportation costs, debt service costs, and our BOCES costs as these are a high percentage of our total budget.   We meet with each building principals and district administrators to review the needs of each building and department.  We then allocate funds for instructional materials.  Once our budget process is complete, which is normally a 3 to 4 month process, we present the budget to our Board of Education for their review and approval.  The budget is then voted on by the public at the annual election held in May.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One factor which explains why per pupil spending would vary is due to staffing.  With the Teachers union having the ability to bid out to a new building each year, it sometime makes certain buildings have a high percentage of senior teachers.   Salaries and benefits for more senior staff would be dramatically higher than new staff.  We also serve a large population of refugees, immigrants, and special needs students, and the cost of providing educational services is much higher.   Based upon the residency of these students, this could dramatically increase the cost of per pupil spending at that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