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in conjunction with the school business official leads the budget development process.
</w:t>
      </w:r>
    </w:p>
    <w:p>
      <w:pPr>
        <w:ind w:left="720"/>
      </w:pPr>
      <w:r>
        <w:rPr>
          <w:rFonts w:ascii="Garamond" w:hAnsi="Garamond"/>
        </w:rPr>
        <w:t>Consultation with the administrative and teaching staff is held to determine the budgetary allocations based on student enrollment. The budget development process begins in November when the approved budget calendar is issued to administrative and non-teaching staff; the process ends when the budget is adopted in April.
</w:t>
      </w:r>
    </w:p>
    <w:p>
      <w:pPr>
        <w:ind w:left="720"/>
      </w:pPr>
      <w:r>
        <w:rPr>
          <w:rFonts w:ascii="Garamond" w:hAnsi="Garamond"/>
        </w:rPr>
        <w:t>
</w:t>
      </w:r>
    </w:p>
    <w:p>
      <w:pPr>
        <w:ind w:left="720"/>
      </w:pPr>
      <w:r>
        <w:rPr>
          <w:rFonts w:ascii="Garamond" w:hAnsi="Garamond"/>
        </w:rPr>
        <w:t>B. Superintendent/Principal, business official,  director and department heads are involved in the budget development process. The preliminary budget is presented to the school board over a period of months and revised based on their comments and feedback. We have one building and the superintendent/principal represents the needs of the building.
</w:t>
      </w:r>
    </w:p>
    <w:p>
      <w:pPr>
        <w:ind w:left="720"/>
      </w:pPr>
      <w:r>
        <w:rPr>
          <w:rFonts w:ascii="Garamond" w:hAnsi="Garamond"/>
        </w:rPr>
        <w:t>
</w:t>
      </w:r>
    </w:p>
    <w:p>
      <w:pPr>
        <w:ind w:left="720"/>
      </w:pPr>
      <w:r>
        <w:rPr>
          <w:rFonts w:ascii="Garamond" w:hAnsi="Garamond"/>
        </w:rPr>
        <w:t>C. Funds are allocated based on enrollment projections, historical spending experience, staffing needs and projected outlook.</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Location and cost of living plays a major role. Teaching salaries are generally higher on long Island; special programs such as STEAM, technology, and others challenging programs of study comes with additional costs which contributes to higher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really. Obviously, COVID-19 has required districts to adapt to different ways of providing instruction to students that has cost more to provide these instructions. We have however received addition funds through federal allocations to off some of these costs.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