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school business administrator leads the budget process with approval and oversight from the administrative cabinet.  Meetings are held with all budget originators which include principals, directors, assistant superintendents and the superintendent.  The district's strategic plan guides the budget process.  Decisions regarding programs and services for students are reviewed and modified as needed.  The district uses a zero based budget approach for equipment. A local formula is not in place at this time for allocations of funds between buildings. However, student enrollment for ELL, Special education and poverty is factored into the allocations provided to each building for textbooks, supplies and materials and staffing.  A detailed analysis of FTE's is reviewed with the Board of Education and a discussion regarding student needs at each location took place during a public meeting.  Each principal and director explained how budget funds impacted their buildings and also highlighted how the funds impacted student achievement. The budget process began with the long-range financial plan in October.  Individual budget requests from each budget originator was due in early December and then meetings took place to review each budget request with the Assistant Superintendents, School Business Administrator, Directors of Facilities, Transportation and with the Supervisor of Fiscal Services.  Each stakeholder discussed particular building needs, special programs requests, special education and ELL programmatic needs and staff development requests.  In March, the Board of Education held two budget workshops to review the proposed budget.  A very in-depth analysis is provided for staffing, tax cap calculations and individual building requests during these meetings.  The Board of Education also reviewed the status of the budget at two additional regular meetings and provided feedback and guidance to the administration.   As previously stated, each budget originator attends these meetings to discuss how their budget areas impact student programs and services. Budgets at each building are developed based on student need, enrollment fluctuations and how students are achieving. A focus on student mental health services and safety was factored into the development of the 2022-23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South Orangetown Middle School had the largest enrollment decline.  While there are fewer students in that location, it did not translate into fewer sections or reductions during the 2022-23 budget.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