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Superintendent and the School Business Manager lead the budget development process with the help of other administrators.  Updates are given to the Board of Education and the Audit, Budget and Finance Committee throughout the duration of this process.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Throughout the budget development process several factors are weighed into the needs for all students.  Some of these areas include special education needs (IEP's), class sizes, new program offerings, equipment/furniture replacement plans, and other needs.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The school district is always budgeting and planning for the future.  District administrators start planning for the next year's budget in late September or early October and does not end until around April until the Board of Education adopts the budget for the tax payers to vote upon on the third Tuesday in May.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District employees that are involved in the budget development process include but are not limited to, the Superintendent, School Business Manager, School Principals, Curriculum Coordinators, Director of Learning, Coordinator for Instructional Technology, Director of Facilities and other administrative staff.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The District does not use a formula to allocate funds to individual schools.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The district does not use a formula for budgeting of student needs.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School Board approves a budget calendar in the beginning of the school year.  The School Board is given many updates throughout the budget development process and weighs the needs of students with a possible increase in the local tax levy based on the tax cap calculation.  The School Board provides input on possible areas of focus and serves as a liaison for the community.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The building administrators are the main source of representation for the needs of individual buildings.  Faculty and staff report directly to them and then the needs are distributed to the District Office for further evaluation.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There is no material difference in spending from school to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there are no items in which the district feels are anomalous in nature.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