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lead by the assistant superintendent for business, with the superintendent. The district has a budget and finance committee of the board of education that reports to the full board at each board meeting throughout the school year.  The needs of the students are translated through each building principal and the district's program/department directors to the district administrative council for discussion, as well as informing budget development process and budget performance. The formal budget development process starts in early December and continues until adoption by the board of education.  There is also communication, evaluation and adjustments to the budget as the year progresses based on actual appropriations status and revenue status.
</w:t>
      </w:r>
    </w:p>
    <w:p>
      <w:pPr>
        <w:ind w:left="720"/>
      </w:pPr>
      <w:r>
        <w:rPr>
          <w:rFonts w:ascii="Garamond" w:hAnsi="Garamond"/>
        </w:rPr>
        <w:t>
</w:t>
      </w:r>
    </w:p>
    <w:p>
      <w:pPr>
        <w:ind w:left="720"/>
      </w:pPr>
      <w:r>
        <w:rPr>
          <w:rFonts w:ascii="Garamond" w:hAnsi="Garamond"/>
        </w:rPr>
        <w:t>Input from all stakeholders is welcome in the budget development process; however, there are financial constraints that require the administration, finance committee and board of education to develop a budget that best suits the needs of the district within the funds that are available.  The board approves the proposed budget that goes before the voters each May.  Individual needs are represented by the building administration, as well as program and department directors.
</w:t>
      </w:r>
    </w:p>
    <w:p>
      <w:pPr>
        <w:ind w:left="720"/>
      </w:pPr>
      <w:r>
        <w:rPr>
          <w:rFonts w:ascii="Garamond" w:hAnsi="Garamond"/>
        </w:rPr>
        <w:t>
</w:t>
      </w:r>
    </w:p>
    <w:p>
      <w:pPr>
        <w:ind w:left="720"/>
      </w:pPr>
      <w:r>
        <w:rPr>
          <w:rFonts w:ascii="Garamond" w:hAnsi="Garamond"/>
        </w:rPr>
        <w:t>The district does not use formulas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isn't anything unique about any particular school within the District that would significantly impact the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contracted with Frontine Education in July 2022 to generate the reports that this transparency report is based upon.  We have found that their process has produced some significant differences in the reported data when compared with the district data of the prior two reports.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