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Schodack Central School District budget is designed to support the goals of the Board of Education in the most prudent and efficient way possible. The budget looks to create the maximized benefit for every dollar spent. The budget process begins in November with creating the Annual Budget Calendar. December through May the development of the budget is a collaborative process with various stakeholders including our District level Administration, Building Leadership, teachers and staff as well as our community through our Board of Education. The Annual Budget is guided by the current and anticipated needs of the students and staff of the district.
</w:t>
      </w:r>
    </w:p>
    <w:p>
      <w:pPr>
        <w:ind w:left="720"/>
      </w:pPr>
      <w:r>
        <w:rPr>
          <w:rFonts w:ascii="Garamond" w:hAnsi="Garamond"/>
        </w:rPr>
        <w:t>
</w:t>
      </w:r>
    </w:p>
    <w:p>
      <w:pPr>
        <w:ind w:left="720"/>
      </w:pPr>
      <w:r>
        <w:rPr>
          <w:rFonts w:ascii="Garamond" w:hAnsi="Garamond"/>
        </w:rPr>
        <w:t>At the start of our budgeting process, our building leadership and department directors are given an allotment of resources. Expenses such as textbooks, library materials, instructional aid, supplies, and site management cost (excluding salary and benefits). 
</w:t>
      </w:r>
    </w:p>
    <w:p>
      <w:pPr>
        <w:ind w:left="720"/>
      </w:pPr>
      <w:r>
        <w:rPr>
          <w:rFonts w:ascii="Garamond" w:hAnsi="Garamond"/>
        </w:rPr>
        <w:t>Individual requests for additional resources are ranked by the administrative team as well as the Board of Education and placed into the budget based on the combined rank of the request. The Board of Education looks for feedback from the community as additions and subtractions are thought of during the budget process. Budget requests are reviewed against state and federal mandates and further scrutinized for sustainability in this time of tax caps. Requests for staffing are prioritized based on enrollment numbers, sustainable funding, and the impact these additions will have on the community taxpayers. 
</w:t>
      </w:r>
    </w:p>
    <w:p>
      <w:pPr>
        <w:ind w:left="720"/>
      </w:pPr>
      <w:r>
        <w:rPr>
          <w:rFonts w:ascii="Garamond" w:hAnsi="Garamond"/>
        </w:rPr>
        <w:t>
</w:t>
      </w:r>
    </w:p>
    <w:p>
      <w:pPr>
        <w:ind w:left="720"/>
      </w:pPr>
      <w:r>
        <w:rPr>
          <w:rFonts w:ascii="Garamond" w:hAnsi="Garamond"/>
        </w:rPr>
        <w:t>Once all decisions have been made and state aid projections have been provided the Business Administrator then compiles the final budget numbers for both revenues and expenses. This information is compiled into the fourth and final presentation to the public and Board of Education and if adopted then placed before the voters in May for their approval or rejection.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Castleton Elementary School has more special education students that have 1:1 teaching assistants as per their IEP’s. Castleton Elementary also houses a K-2 special education program which has greater direct costs than other programs found at the Jr./Sr. High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