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allocates funds as follows:
</w:t>
      </w:r>
    </w:p>
    <w:p>
      <w:pPr>
        <w:ind w:left="720"/>
      </w:pPr>
      <w:r>
        <w:rPr>
          <w:rFonts w:ascii="Garamond" w:hAnsi="Garamond"/>
        </w:rPr>
        <w:t>Regular education staff is allocated to the 4 schools based upon student population, class size, curriculum and program needs.  Salaries and benefits, which constitute the majority of our budget, are projected based upon contractual agreements set with each bargaining unit.
</w:t>
      </w:r>
    </w:p>
    <w:p>
      <w:pPr>
        <w:ind w:left="720"/>
      </w:pPr>
      <w:r>
        <w:rPr>
          <w:rFonts w:ascii="Garamond" w:hAnsi="Garamond"/>
        </w:rPr>
        <w:t>
</w:t>
      </w:r>
    </w:p>
    <w:p>
      <w:pPr>
        <w:ind w:left="720"/>
      </w:pPr>
      <w:r>
        <w:rPr>
          <w:rFonts w:ascii="Garamond" w:hAnsi="Garamond"/>
        </w:rPr>
        <w:t>Special education staff is allocated based upon pupil needs and the IEPs (Individual Education Plan) created from the annual meetings with the special education staff, support staff and parents of the students.  Again, salaries and benefits are projected based upon contractual agreements set with each bargaining unit.
</w:t>
      </w:r>
    </w:p>
    <w:p>
      <w:pPr>
        <w:ind w:left="720"/>
      </w:pPr>
      <w:r>
        <w:rPr>
          <w:rFonts w:ascii="Garamond" w:hAnsi="Garamond"/>
        </w:rPr>
        <w:t>
</w:t>
      </w:r>
    </w:p>
    <w:p>
      <w:pPr>
        <w:ind w:left="720"/>
      </w:pPr>
      <w:r>
        <w:rPr>
          <w:rFonts w:ascii="Garamond" w:hAnsi="Garamond"/>
        </w:rPr>
        <w:t>Supplies and materials are provided to each building based upon a per student allocation multiplied by the building enrollment to calculate each building budget total.  The building Principals then decide how best to spend those funds.  
</w:t>
      </w:r>
    </w:p>
    <w:p>
      <w:pPr>
        <w:ind w:left="720"/>
      </w:pPr>
      <w:r>
        <w:rPr>
          <w:rFonts w:ascii="Garamond" w:hAnsi="Garamond"/>
        </w:rPr>
        <w:t>
</w:t>
      </w:r>
    </w:p>
    <w:p>
      <w:pPr>
        <w:ind w:left="720"/>
      </w:pPr>
      <w:r>
        <w:rPr>
          <w:rFonts w:ascii="Garamond" w:hAnsi="Garamond"/>
        </w:rPr>
        <w:t>Curriculum &amp; instruction, transportation, maintenance, technology, and co-curricular are all budgeted by the administrator or supervisor in charge of these areas or departments.  These budgets are projected based upon needs and a review of the past 5 years of actual expenditures.
</w:t>
      </w:r>
    </w:p>
    <w:p>
      <w:pPr>
        <w:ind w:left="720"/>
      </w:pPr>
      <w:r>
        <w:rPr>
          <w:rFonts w:ascii="Garamond" w:hAnsi="Garamond"/>
        </w:rPr>
        <w:t>
</w:t>
      </w:r>
    </w:p>
    <w:p>
      <w:pPr>
        <w:ind w:left="720"/>
      </w:pPr>
      <w:r>
        <w:rPr>
          <w:rFonts w:ascii="Garamond" w:hAnsi="Garamond"/>
        </w:rPr>
        <w:t>BOCES services are budgeted based upon the amounts provided by them and adjusted by reviewing prior year historical expenses to determine increases needed for use base cosers. The BOCES special education cost is calculated by reviewing the student IEPs, taking the BOCES service charge, and projecting expenditures.
</w:t>
      </w:r>
    </w:p>
    <w:p>
      <w:pPr>
        <w:ind w:left="720"/>
      </w:pPr>
      <w:r>
        <w:rPr>
          <w:rFonts w:ascii="Garamond" w:hAnsi="Garamond"/>
        </w:rPr>
        <w:t>
</w:t>
      </w:r>
    </w:p>
    <w:p>
      <w:pPr>
        <w:ind w:left="720"/>
      </w:pPr>
      <w:r>
        <w:rPr>
          <w:rFonts w:ascii="Garamond" w:hAnsi="Garamond"/>
        </w:rPr>
        <w:t>District wide accounts for contractual services, supplies and materials, textbooks, equipment, hardware, and software are funded by reviewing prior year actual expenditures and estimating projected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is higher for the High School than the other buildings  They have a more senior teaching staff than the other buildings causing a higher cost in salaries.  The majority of the interscholastic sports programs and extracurricular clubs are also included in the High School pupil support service costs.  These programs increase the per pupil operating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