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led by the School Business Administrator with oversight from the Superintendent and the Board of Education.  The budget is developed based on input from District Administrators and other professional staff.  Budget projections are based on contractual obligations, State and federal mandates, projected enrollment, and any other factors that may impact budgetary decisions.  The budget development process begins in December and ends once the budget vote results are certified in May or June.  A budget development calendar is prepared by the School Business Administrator and presented to the Board in January.  The budget development calendar includes the various stages of the budget review process along with the corresponding Board meeting dates. 
</w:t>
      </w:r>
    </w:p>
    <w:p>
      <w:pPr>
        <w:ind w:left="720"/>
      </w:pPr>
      <w:r>
        <w:rPr>
          <w:rFonts w:ascii="Garamond" w:hAnsi="Garamond"/>
        </w:rPr>
        <w:t>B. The School Business Administrator leads the budget development process.  Departmental budget requests/needs are submitted by the various department heads, and principals.  The School Business Administrator meets with the Board of Education at every Board meeting throughout the process to discuss each budget area based on the established calendar.  The needs of the individual buildings and departments are represented by the principal or administrator in charge of the building or department.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