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by the District Treasurer and Superintendent who work under the guidance of the BOE.  We only have one school and one building.  All supervisors are part of the Budget Process.
</w:t>
      </w:r>
    </w:p>
    <w:p>
      <w:pPr>
        <w:ind w:left="720"/>
      </w:pPr>
      <w:r>
        <w:rPr>
          <w:rFonts w:ascii="Garamond" w:hAnsi="Garamond"/>
        </w:rPr>
        <w:t>The education and needs of the students is a priority when budgeting, but the taxpayers, staff and building needs are considered as well.
</w:t>
      </w:r>
    </w:p>
    <w:p>
      <w:pPr>
        <w:ind w:left="720"/>
      </w:pPr>
      <w:r>
        <w:rPr>
          <w:rFonts w:ascii="Garamond" w:hAnsi="Garamond"/>
        </w:rPr>
        <w:t>The Budget Process starts at the beginning of school year, and generally runs right up until the budget vote.  Emphasis on the budget ramps up after January 1st.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