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is comprised of 9 school buildings, pre-k, k-6, middle school and high school. The District's current budgeting and funding practices encourage shared decision making and planning at the local level by all stakeholders including administrators and faculty. Each building begins budget development in the late fall with a review of projected enrollment and anticipated needs, both staffing and otherwise. As the budget process develops, particularly through the process of NYS budget and state aid, programs and initiatives are prioritized culminating in a final proposed budget for the community to vote 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additional time would be needed to analyze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