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methodology used in allocating fund to each school begins with conversations with administrators as to where they see the greatest needs of their buildings/programs in the coming year.  The conversations are then distilled into summaries that are presented to the Board of Education for their acceptance, declination or revision.  In general, the allocation of funds by school is based on a formula that ties the spending to a per pupil allocation, driven by the percentage of school’s population to the overall District population. There are deviations from this formula when the stakeholders make cogent arguments for special needs in a building. In general, the High School gets 34% of the funding, the Middle School and Pulaski get 15% each, Phillips and Riley get 10% each, Aquebogue gets 9% and Roanoke gets 7%.</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has concentrated its self-contained elementary classes at Aquebogue and Riley.  Each of these classes has multiple staff members and very small class sizes.  There are multiple self-contained classes at each building.  Thus, the allocations for Aquebogue and Riley can be disproportionate for this reason.  Additionally, there is a larger ENL need at Roanoke and Phillips than in the other two K-4 buildings, and thus additional support can be seen there as well.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