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District’s budget development process is a collaborative effort between a multitude of stakeholders across all employee and governance groups, as well as allowing community input. Pleasantville utilizes a site and area-based strategy, which depends on the administrative expertise to develop parts of mini-budgets that will later transition to the district-wide budget. A hybrid approach of zero-based budgeting, line-item budgeting and allotment (formulaic) methodologies are used to determine the appropriate allocation for each budget section. The Superintendent and Assistant Superintendent lead the yearly budgeting process, which begins in November each year with the adoption of the budget calendar and communication of expectations and timelines. Each individual building principal has the responsibility of communicating student needs for the upcoming year through specific staffing, supply or contractual requests. Building principals utilize the instructional expertise of their respective staffs to build textbook, supplies, field trip and staff development requests through a zero-based, grassroots effort. For supplies and materials, textbook and library allocations, the district utilizes a formulaic methodology to determine the appropriate resources that are based on the age and special needs of particular students. For instance, elementary students receive an allocation factor of 1.0, Middle school 1.25, High School 1.5 and Special Education 1.75. For all other school building resources, such as contractual items, equipment, staffing, staff development, the zero-based budgeting methodology us utilized with proper justification and corresponding data, all of which is reviewed by the board of education at its budget workshops.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expenditures average $30,552 for the three buildings. The High School per pupil expenditure is $32,923, which represents a variance of +8%.  Additional expenses in that building are attributable to instructional programs for special needs students, such as the Lab School through Westchester Community College, and the Transitions program, which is for 18-21 year olds who are eligible for this specialized program.  Per pupil expenses for the Bedford Road School are $26,809, which represents a variance of -12%. Lower expenses in this building as compared to the average are attributable to a smaller special needs population. Only 13% of the total special education student population attend school at this location.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