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a collaborative effort between a multitude of stakeholders across all employee and governance groups, as well as allowing community input. Pleasantville utilizes a site and area-based strategy, which depends on the administrative expertise to develop parts of mini-budgets that will later transition to the district-wide budget. A hybrid approach of zero-based budgeting, line-item budgeting and allotment (formulaic) methodologies are used to determine the appropriate allocation for each budget section. The Superintendent and Assistant Superintendent lead the yearly budgeting process, which begins in November each year with the adoption of the budget calendar and communication of expectations and timelines. Each individual building principal has the responsibility of communicating student needs for the upcoming year through specific staffing, supply or contractual requests. Building principals utilize the instructional expertise of their respective staffs to build textbook, supplies, field trip and staff development requests through a zero-based, grassroots effort. For supplies and materials, textbook and library allocations, the district utilizes a formulaic methodology to determine the appropriate resources that are based on the age and special needs of particular students. For instance, elementary students receive an allocation factor of 1.0, Middle school 1.25, High School 1.5 and Special Education 1.75. For all other school building resources, such as contractual items, equipment, staffing, staff development, the zero-based budgeting methodology us utilized with proper justification and corresponding data, all of which is reviewed by the board of education at its budget workshops.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expenditures average $30,552 for the three buildings. The High School per pupil expenditure is $32,923, which represents a variance of +8%.  Additional expenses in that building are attributable to instructional programs for special needs students, such as the Lab School through Westchester Community College, and the Transitions program, which is for 18-21 year olds who are eligible for this specialized program.  Per pupil expenses for the Bedford Road School are $26,809, which represents a variance of -12%. Lower expenses in this building as compared to the average are attributable to a smaller special needs population. Only 13% of the total special education student population attend school at this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