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School Business Official. Representing the needs of the students, the Department and Grade Level Chairs assesses the needs of grades and departments, bringing those to the building principals. The principals represent the individual buildings. There is also work with representatives of Transportation, Maintenance, School Lunch and Special Education in setting budgets based on the upcoming year's needs. All aforementioned parties bring needs to the SBO who then finalizes the budgets. The School Board sets guidelines for the ultimate budget figures. Once finalized, they then vote and approve, sending this approved budget to the voters. The whole process begins in November for the upcoming school year and runs through about April in order to present to the voters for the May vote. Budget needs are evaluated on an ongoing basis. The district does not use a formula for allocation to schools. the budget figures are based on projected costs relative to thee prior year's spending and projected salaries and benefits.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