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School budgets are derived from the amount of learners in the building and then the appropriate staffing for those learners is assigned; evaluated metrics are projected enrollment, class sizes, and student-specific academic needs. Budget development is a multi-stakeholder process over many months, from early fall to late spring, between instructional and non-instructional staff, administration, the board of education, and the community at large.  
</w:t>
      </w:r>
    </w:p>
    <w:p>
      <w:pPr>
        <w:ind w:left="720"/>
      </w:pPr>
      <w:r>
        <w:rPr>
          <w:rFonts w:ascii="Garamond" w:hAnsi="Garamond"/>
        </w:rPr>
        <w:t>
</w:t>
      </w:r>
    </w:p>
    <w:p>
      <w:pPr>
        <w:ind w:left="720"/>
      </w:pPr>
      <w:r>
        <w:rPr>
          <w:rFonts w:ascii="Garamond" w:hAnsi="Garamond"/>
        </w:rPr>
        <w:t>Building budgets for items such as materials and supplies, equipment, contractual costs, and professional development is capped based upon foreclosed enrollment, historical costs, and future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PHS and Bay Trail have increased costs for more expensive academic programming and extracurricular opportunities. Among the elementary schools, Harris Hill shows as a higher budget per pupil due to fewer learners than the other three K-5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