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Accountant and the Superintendent lead the budget development process. In mid December, Principals,  Athletic Director,  IT Director , Transportation Director, and the Director of Facilities are  
</w:t>
      </w:r>
    </w:p>
    <w:p>
      <w:pPr>
        <w:ind w:left="720"/>
      </w:pPr>
      <w:r>
        <w:rPr>
          <w:rFonts w:ascii="Garamond" w:hAnsi="Garamond"/>
        </w:rPr>
        <w:t>asked to prepare a list of both "wants" and "needs" and submit it to the School Accountant. Over the course of a couple of months, a preliminary budget is prepared that includes all salary contractual obligations, fringe benefit costs, projected utility costs etc. and all of the requested items. Three budget workshops are scheduled with the BOE. The preliminary budget is presented in the first workshop that includes all requested items. Revenues are presented in a second workshop and a third workshop is scheduled to finalize the budget that will go out to the voters. Revenue projections are completed and finalized in late March once the final state aid runs are received from NYS. At that point, revenues vs appropriations determines the next steps. If a budget shortfall results,  the Superintendent comprises a list of suggested cuts and is presented  to the  BOE for their input. After review and discussion with the BOE, revisions are made to balance the budget. In early April, the budget is voted on by the BOE.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for the Primary School may at first glance appear high. The total dollars allocated to each building are in line with what would be expected, i.e., 50% to the JR/SR HS, 28% to the Intermediate School, and 22% to the Primary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