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B: Initially the Superintendent and Business Official hold information gathering sessions with building administrators, Department Heads, CSE Personnel, and certain faculty/staff. The purpose of these sessions (primarily in December and January) is to gather input regarding projected student, staffing, and facilities needs for the ensuing school year. During February and March the Board of Education schedules 4 -6 Budget Work Sessions which are open to the Public. These sessions are designed to gather public input regarding proposed spending, review the information gathered in the earlier sessions, as well as the overall proposed spending plan, and to review projected funding sources. As a District with only 1 ES building and 1 MS/HS building, the approach to allocating funds to each "school" is basically driven by the direct and specific student needs represented in the K-5 and 6-12 student populations, respectively. All large cost areas to include staffing (salaries/benefits), BOCES services, and student support services are budgeted for based on specific student needs as gleaned from prior information gathering se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usu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