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School Business Official leads the business process in conjunction with the Superintendent. The Superintendents Council, which is made up of key district administrators and leaders discuss the needs of the District and where funds may be used most effectively to meet the needs of the students. We begin this process in late Fall and continue through Budget adoption in early spring. 
</w:t>
      </w:r>
    </w:p>
    <w:p>
      <w:pPr>
        <w:ind w:left="720"/>
      </w:pPr>
      <w:r>
        <w:rPr>
          <w:rFonts w:ascii="Garamond" w:hAnsi="Garamond"/>
        </w:rPr>
        <w:t>The budget process is very inclusive of many stakeholders, including teachers, support staff, administration, parents, special education, ELL and our Board of Education.  Since our District is small principals, and special area leaders such as special education and ELL worki collectively to advocate for the needs in each building. The District has several budget presentations and discussion in open budget forum to garner additonal feedback from the public. The BOE Finance committee is an active member in budget discussions with presentations to the full BOE during BOE meetings. 
</w:t>
      </w:r>
    </w:p>
    <w:p>
      <w:pPr>
        <w:ind w:left="720"/>
      </w:pPr>
      <w:r>
        <w:rPr>
          <w:rFonts w:ascii="Garamond" w:hAnsi="Garamond"/>
        </w:rPr>
        <w:t>The District based on our budget meetings allocate funds to programs or areas that show the greatest need, a standard allocation based on student enrollment is done for other general areas.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Our District based on size has a signficant population of ELL and Special Education students, therefore all buildings require sizable funding to address the needs of the students.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