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collaboratively by th District Superintendent and his cabinet working closely with the Board of Education. The Associate Superintendent for Business Services plays a significant role in the budget process. The first major milestone is the proposal of a budget calendar developed by the superintendent cabinet. The Board approves the budget calendar in October of each year. The process takes from October through the budget vote in May. The Board is given monthly status of the budget process from October through December and twice a month status from January through May. The Board has a budget subcommittee that meets frequently throughout the process. Resources are generally allocated based on the student enrollment with consideration for the unique needs of the student population. Grant funds are allocated directly to individual schools based on grant eligibility of the school.
</w:t>
      </w:r>
    </w:p>
    <w:p>
      <w:pPr>
        <w:ind w:left="720"/>
      </w:pPr>
      <w:r>
        <w:rPr>
          <w:rFonts w:ascii="Garamond" w:hAnsi="Garamond"/>
        </w:rPr>
        <w:t>One factor that clouds the picture is the cost of staff which is dependent on their years of experience, so it may appear that one building is receiving greater resources due to having more mature staff. All staff have input into the process through their building Principals and or their academic director.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mentioned above staff experience level drives compensation and can influence spending per pupil. Also grant funding is directly related to the needs of the school and will impact spending per pupil. We have increased ELL programing to 3 elementary schools, 2 middle schools as well as our Jr High and High School. Staffing is in place to support these students. In addition, students needing ELL services that do not attend one of these schools, are able to travel to one of those locations and get the services they need.
</w:t>
      </w:r>
    </w:p>
    <w:p>
      <w:pPr>
        <w:ind w:left="720"/>
      </w:pPr>
      <w:r>
        <w:rPr>
          <w:rFonts w:ascii="Garamond" w:hAnsi="Garamond"/>
        </w:rPr>
        <w:t>We also have a few schools where we run unique, higher cost special education programs that drive up the per pupil spending in these schools. Finally we continue to work hard to drive down our class sizes, particularly in schools with higher free and reduced lunch counts.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