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facilitated by the Assistant Superintendent for Business and Operations. It starts behind the scenes in October and continues through budget adoption by the Board of Education in April. The aim is to develop a budget that will support the district’s Strategic Action Plan that focuses on raising student achievement. Formulas are used to allocate funds to individual schools for materials and supplies, as well as textbooks. These allocations are made on a per student basis, with the amount per student being increased for secondary students over elementary students, due to secondary programs being more costly. Individual staff members work with their building administrators to direct these allocations to best meet the needs of the students in the buildings. Staffing for all areas is zero based, with the superintendent and his/her administrative council making final recommendations to the Board of Education. It is the duty of all administrators and department heads to look for potential savings, while ensuring that their individual budgets provide for the resources necessary to support the district’s Strategic Action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