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Assistant Superintendent for Business, and the Board of Education lead the budget development process.  The budget process begins in December and goes through approximately May.  Along with central administration and the department supervisors, the building principals are also involved in the budget process.  There are several budget meetings with the board of education along with public budget board meetings.  The school board along with the superintendent establish the budget preparation process and timeline.  Each piece of the budget is presented to the board so they can make decisions as presented.  The building principals represent the needs of individual buildings and represent the needs of their students in the budget process and budget requests.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