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creates a budget based on a decentralized, zero based approach towards budgeting.  Each administrator is responsible for their own budget (object codes 200-599).  Staffing is based on actual people and where they are scheduled to work during the upcoming school year (clearly things change as the school year approaches and budget transfers become necessary for the funding to follow the staff member).  The needs of students are identified by the educational leaders (budget builders) and requests to support those needs are made through their individual budget submissions.  The budget process begins as early as August in each year and lasts through until the budget is adopted by the Board of Education in April.  For a very small part of the budget there are per-pupil allocations that are based on the state aid amounts to be received for Instructional Material Aid.  The District develops the appropriations budget ahead of being told the amounts of funding to be received from state aid.  As those numbers are released and recalculated, the District adjusts the appropriations as necessary to fit within the constraints associated with the limited aid received.  The budget is consistently discussed with the board of education during work-sessions.  There are multiple opportunities for community members to come forward at the district's "Budget Input" sessions.  Once fully compiled there are multiple reviews that take place where the Superintendent, the Deputy Superintendent, and the Board discuss items to be included in and excluded from the budget leading up to the recommended budget by the Superintendent for board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the class sizes as per board guidelines are the same throughout the District.  There is a cap that is adhered to.  The smaller buildings tend to have smaller class sizes where as the larger buildings tend to have larger class sizes.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