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are two school buildings PK-6 and 7-12 on the same property.  The Superintendent leads the budget development process in this small school district, with input from building leaders and facilities/transportation directors.  The budget is compared to previous years' allocations.  The process initiates in January and completes with the board of education's approval to take the budget to the voters.  Student needs are communicated primarily through 12 department chairpersons who collect data from their departments.  The district does not utilize a formula for allocation.  The school board has a budget committee that meets several times with district administration to provide community input.  Public discussion is held over the curse of several board of education meetings to ensure transparency.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budget is always based on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