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Business Administrator for the District. The Business Administrator works with Principals and Stake Holders to put together a fair and equitable budget that supports the Morrisville-Eaton Central School District. Principals receive supply and material budget requests from teachers in January and early February. Those amounts are submitted to the district office for review by mid-February.  The building budget begins with the previous year’s allocation and then is increased/decreased depending on the number of students and aid allocation.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Equipment requests are considered using a zero-based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Transportation and the needs of Buildings and Grounds the budget gets adjusted.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school has 20 more students with disabilities than the middle/high school.  Also, the elementary has a Universal Pre-K program in the building which has 36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applied for the Federal CRRSA and ARPA funding and starting spending and receiving funds and the funds end September of 2025. The 22-23 fiscal year funding was included in the NYS Transparency report allocated based on the projected use of the funds. These are resources to addresses the impacts of the COVID-19 pandemic on students, including the impacts of interrupted instruction and learning loss for all learners including the impacts on low-income students, children with disabilities, English language learners, and students experiencing homelessness. These funds will help instructional staff identify gaps in student learning and support staff to address these areas for targeted students. The funding allows the District to maintain current staffing levels that were at risk of being reduced. The funding will also provide principals the resources necessary to address the needs of their individual schools and students. Additional resources to support students who have learning gaps.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