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receive supply and material budget requests from teachers in late December/early January and then those amounts are submitted to the district office for review in January.  The building budget begins with the previous year’s allocation and then is increased/decreased depending on the number of students and projected revenues.  Class sizes, federal funding allocations and specific building needs are considered.  Principals justify any dollar increases based on these categories to Central Admin and BOE.  Amounts are established for supplies, materials, computer software, library books, textbooks and copying costs based on historical data and current need.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variations can occur between buildings from year to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