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are a Pre-K through 8th single schoolhouse, so our funding is allocated to the whole building. The roles of stakeholders are the Superintendent, Business Office, the Board of Education and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