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a joint collaboration between the Superintendent Business Manager, and BOE members. We hold several budget work shops that are open to the public. The Board adopted goals and strategic plan provide an outline to determine and fiscally support the needs of our student population in the most equiatble manner possible. .</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Yes, for such a small student population we have a high number of English language learners across many different dialects . Also Menands being the smallest school district in Albany county, is home to the largest homeless shelter in the county. This results in increased academic and social emotional needs among this population and can lead to fiscal challenges.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