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started with a review of Educational Goals and Programming between the Superintendent, Business Administrator, and the Board of Education beginning in October. Starting in December, a rollover budget is created, and building principals, Assistant Superintendent, Coordinator of Special Education, Athletic Director, Head Cleaner, Head Maintenance, Head Mechanic, Technology Department, and Director of Food Service are brought into the discussion of specific needs and allocations are given to each department by March 1.  Department Chairpersons, Head Coaches, and other staff are given their allocations, and discussions begin around budget needs.  A budget is presented in April for Board of Education approval, followed by community approval in May.  Student needs are the ultimate variable in the budgeting process. Given our students, the best educational experience possible is the driving force of any budget cycle.  The Board of Education's major role in the budgeting process is to ensure that the needs of and overlaying opinions of the community are upheld in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