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process is lead by the Superintendent and the Business Administrator and supports a quality educational program while maintaining fiscal responsibility.  The budget process formally starts in December each year and continues through the time of the budget vote in May.
</w:t>
      </w:r>
    </w:p>
    <w:p>
      <w:pPr>
        <w:ind w:left="720"/>
      </w:pPr>
      <w:r>
        <w:rPr>
          <w:rFonts w:ascii="Garamond" w:hAnsi="Garamond"/>
        </w:rPr>
        <w:t>2.  Budget expenditures will be in alignment with the vision, mission, and goals developed by representatives of the faculty, staff, students, community, and the Board of Education.
</w:t>
      </w:r>
    </w:p>
    <w:p>
      <w:pPr>
        <w:ind w:left="720"/>
      </w:pPr>
      <w:r>
        <w:rPr>
          <w:rFonts w:ascii="Garamond" w:hAnsi="Garamond"/>
        </w:rPr>
        <w:t>3. Community input is solicited and taken into account during the development of the budget.
</w:t>
      </w:r>
    </w:p>
    <w:p>
      <w:pPr>
        <w:ind w:left="720"/>
      </w:pPr>
      <w:r>
        <w:rPr>
          <w:rFonts w:ascii="Garamond" w:hAnsi="Garamond"/>
        </w:rPr>
        <w:t>4. Information about the budget is made readily available to the community. The Superintendent of Schools and School Business Administrator are available to answer questions about the budget.
</w:t>
      </w:r>
    </w:p>
    <w:p>
      <w:pPr>
        <w:ind w:left="720"/>
      </w:pPr>
      <w:r>
        <w:rPr>
          <w:rFonts w:ascii="Garamond" w:hAnsi="Garamond"/>
        </w:rPr>
        <w:t>5. Long term fiscal stability and predictability are maximized through the development and regular updating of short-term and long-term plans for school improvements, maintenance of the physical plant, and needed equipment purchases.
</w:t>
      </w:r>
    </w:p>
    <w:p>
      <w:pPr>
        <w:ind w:left="720"/>
      </w:pPr>
      <w:r>
        <w:rPr>
          <w:rFonts w:ascii="Garamond" w:hAnsi="Garamond"/>
        </w:rPr>
        <w:t>6. Energy conservation, recycling, and reusing are practiced wherever possible.
</w:t>
      </w:r>
    </w:p>
    <w:p>
      <w:pPr>
        <w:ind w:left="720"/>
      </w:pPr>
      <w:r>
        <w:rPr>
          <w:rFonts w:ascii="Garamond" w:hAnsi="Garamond"/>
        </w:rPr>
        <w:t>7. Available grant money are utilized to maximize long-term benefit to the school (e.g. purchase of equipment) and minimize dependence on grants for fundamental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