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At Lyncourt Union Free School District the budget process is led by the School Business Administrator and the Superintendent. The Administrative Team comprised of:  Principal, Curriculum Coordinator, Director of Technology, Special Education Director, District Clerk, and Facilities Director are collaborated with in all aspects of the budget projections. The budget development process begins in December and runs through the NYS established budget vote date. The board of education is involved with information sharing at a budget workshop, having three representatives sit on the budget stakeholders committee, and at every board meeting. The board of education is involved in understanding the increase in expenses, determining how much fund balance should be used to offset a lack of sufficient funding sources, and how much of the budget should be cut in an effort to stay within the levy limit established by the state. Student needs are collaborated with the Administrative Team to determine BOCES services, special education needs, curriculum needs, transportation needs, staffing needs in meeting ELL, classroom aides, classroom TA's, and mandates. Large contractual increases are calculated and added to the budget in the areas of salaries, employee insurance, transportation costs, BOCES costs, employer retirement expenditures, charter school costs, special education, technology and classroom instructional material costs, Bond debt, etc. Typically these increases are greater than our state aid and tax limit revenue resources and therefore, there are tough decisions to me made to trim the budget as necessary and fil the gap with fund balance in order to meet available revenue and balance the budget. The budget committee is involved in the budget and meets 2-3 times. The committee is comprised of three board members, two community parents, two staff members, the Superintendent, and the School Business Administrator. The meetings with the budget committee involve sharing of budget information, educating the committee on the budget constraints, the tax levy limit and how it is calculated, fund balance, the budget process, the budget calendar, voting timeline, budget hearing, publications, and Q&amp;A that help with community and school collaboration and awareness. The district does not use a formula to allocate funds to individual schools because we are a one building K-8 district. All required publications, mailed notices, budget availability for review, public hearing, and voting regulations are held to the state timeline, requirements and regulations.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