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districts' greatest expense is staffing.  Staffing is determined based on class size goals and level of service required by the population served by a particular school.  If a specific school has more children with special needs, the staffing ratio is determined by the children's Individual Education Plan.  The Cabinet reviews all staffing throughout the district to ensure equity.
</w:t>
      </w:r>
    </w:p>
    <w:p>
      <w:pPr>
        <w:ind w:left="720"/>
      </w:pPr>
      <w:r>
        <w:rPr>
          <w:rFonts w:ascii="Garamond" w:hAnsi="Garamond"/>
        </w:rPr>
        <w:t>
</w:t>
      </w:r>
    </w:p>
    <w:p>
      <w:pPr>
        <w:ind w:left="720"/>
      </w:pPr>
      <w:r>
        <w:rPr>
          <w:rFonts w:ascii="Garamond" w:hAnsi="Garamond"/>
        </w:rPr>
        <w:t>Each school is given an individual per pupil allocation that is based on a projected student count.  These budget will cover the cost of supplies, materials, textbooks and equipment.  The cost of these items are higher in the secondary schools due to the course offerings in Art, Music, Technology and Science.
</w:t>
      </w:r>
    </w:p>
    <w:p>
      <w:pPr>
        <w:ind w:left="720"/>
      </w:pPr>
      <w:r>
        <w:rPr>
          <w:rFonts w:ascii="Garamond" w:hAnsi="Garamond"/>
        </w:rPr>
        <w:t>
</w:t>
      </w:r>
    </w:p>
    <w:p>
      <w:pPr>
        <w:ind w:left="720"/>
      </w:pPr>
      <w:r>
        <w:rPr>
          <w:rFonts w:ascii="Garamond" w:hAnsi="Garamond"/>
        </w:rPr>
        <w:t>All districts' schools budgets are reviewed by Cabinet.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may vary from the district average as the spending is influenced by the teaching staffs' years of service.  Teachers salary increases are based on years of service.  Other factors may affect school spending levels such as needs of the students, instructional and support programming, staffing needs and current costs of materials.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