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finance and management services is the designated individual to oversee the entire budget process. The process begins with the audit committee of the board of education reviewing the budget development calendar in October. Once the calendar has been approved by the board of education the assistant superintendent of finance works with a core team within the business office to prepare preliminary budget documents (district treasurer and principal account clerk). These documents are shared with building level principals (seven in total) and directors (six in total) at the end of October. The principals and directors are then responsible for engaging their stakeholders in the budget process within their buildings. Building level preliminary budgets are due to the assistant superintendent of finance by the third week in November. The directors budgets are due to the assistant superintendent of finance by the third week in December. Once all preliminary budgets have been received, individual meetings with upper level management (superintendent and assistant superintendents) are arranged to discuss them. The second week in January the audit committee of the board of education is given the preliminary budget based on all requests and they begin to analyze the expenditure requests based on current revenue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Lockport city School District is a small city school district with a high poverty level averaging 60%. To ensure our students are provided with the best programming available to meet their social emotional needs each elementary school offers specialized programs. One elementary school has a specialized program for all K-4 ELL students, two elementary schools have specialized programs for self contained SWD. This allows the district to focus specialized resources in a greater number to help these students achieve. The district also contracts with a local provider to oversee the UPK program. Roy B Kelley appears significantly lower in the per student spending than the other three K-4 elementary schools (Anna Merritt, Charles Upson and George Southard) as that particular school does not contain the specialized programs for ELL or SWD. That in part is because that particular building has the highest K-4 enrollment. The district has completed a census of all eligible students and will be putting together a committee of stakeholders to consider "redrawing" the attendance zone lines to even out the enrollment counts in the K-4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This financial transparency document reflects the large influx of federal grant dollars from the American Rescue Plan Act. Usage of these dollars has increased the per pupil spending significantly as the district addresses learning loss and mental health issues resulting from the COVID-19 pandemic.</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