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is led by the school business official and Superintendent. Interaction between the teacher, principals, and business is utilized to ensure the needs of students are met. The budget process begins in December and wraps up around April.
</w:t>
      </w:r>
    </w:p>
    <w:p>
      <w:pPr>
        <w:ind w:left="720"/>
      </w:pPr>
      <w:r>
        <w:rPr>
          <w:rFonts w:ascii="Garamond" w:hAnsi="Garamond"/>
        </w:rPr>
        <w:t>B. The Superintendent and School Business Official lead the process. The school board is kept informed of the process through budget presentations and they are able to attend budget workshops if they want to. The Superintendent represents the needs as we have one building on one site.
</w:t>
      </w:r>
    </w:p>
    <w:p>
      <w:pPr>
        <w:ind w:left="720"/>
      </w:pPr>
      <w:r>
        <w:rPr>
          <w:rFonts w:ascii="Garamond" w:hAnsi="Garamond"/>
        </w:rPr>
        <w:t>C.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maintains a historical landmark for a building that has a connecting walkbridge to town as well as flood walls on each side of the river that runs parallel to the school. This is very expensive to maintain and is unaidable.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