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commences during November of the previous budget year and is led by the Superintendent for Schools and Assistant Superintendent for Business.  The district’s central administration, building principals along business office staff such as the District Treasurer have integral roles in the creation of the budget.  This is a five to six month process and includes continual extensive participation and decision making from the Board of Education.  Needs of the students are always paramount and serve as the foundation to the creation of the budget.  Each stakeholder brings their own perspective to the needs of a district and how to accomplish the goals set forth to be in compliance with the district’s mission statement.  
</w:t>
      </w:r>
    </w:p>
    <w:p>
      <w:pPr>
        <w:ind w:left="720"/>
      </w:pPr>
      <w:r>
        <w:rPr>
          <w:rFonts w:ascii="Garamond" w:hAnsi="Garamond"/>
        </w:rPr>
        <w:t>
</w:t>
      </w:r>
    </w:p>
    <w:p>
      <w:pPr>
        <w:ind w:left="720"/>
      </w:pPr>
      <w:r>
        <w:rPr>
          <w:rFonts w:ascii="Garamond" w:hAnsi="Garamond"/>
        </w:rPr>
        <w:t>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Similar to previous years, Alleghany Elementary houses our 15:1 and ICT programs from second through fifth grade.  As a result, it has six classes with a very small teacher to student ratio increasing the staffing need for the building.  Also, the high percentage of special education students results in additional support staff such as: aides, social workers, psychologists, speech therapist and occupational therapists.  For example, the building has three speech therapist staffed, which far exceeds, almost all of the other elementary schools throughout the district.  For the Integrated Co-Teaching classes, which the building has seven of, each class requires two full-time teachers.  In typical classroom settings there is only one teacher, this doubles the amount of staff required for the classes at Alleghany.  Many of the special education students that are housed at Alleghany also require the services of reading specialists.  As a result, Alleghany also has several reading specialists on staff, increasing their overall per pupil expenditure.  As a result of the part 154 regulations, any student in Alleghany who requires ENL support, may require additional staffing for this purpose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