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in conjunction with the Superintendent of Schools, the Board of Education, and the building and department leadership.  This process begins in October/November before the budget vote and ends with a final budget in April.  
</w:t>
      </w:r>
    </w:p>
    <w:p>
      <w:pPr>
        <w:ind w:left="720"/>
      </w:pPr>
      <w:r>
        <w:rPr>
          <w:rFonts w:ascii="Garamond" w:hAnsi="Garamond"/>
        </w:rPr>
        <w:t>
</w:t>
      </w:r>
    </w:p>
    <w:p>
      <w:pPr>
        <w:ind w:left="720"/>
      </w:pPr>
      <w:r>
        <w:rPr>
          <w:rFonts w:ascii="Garamond" w:hAnsi="Garamond"/>
        </w:rPr>
        <w:t>B. We develop a budget using the zero based budgeting model.  Teachers and other faculty members submit their needs to their supervisors or building principals.  Principals and Department Supervisors review the requests and either approve or deny them based on student need.  The Business Administrator meets with each principal and department head to discuss their submitted budgets.  The Business Administrator and Superintendent present the different areas of the budget to the Board of Education and explain areas of need and increases or decreases that are present as a result of those needs.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and middle schools are designated Title schools and receive Federal Title funds.  The high school does not.  Additionally, much of our federal stimulus money was designated to the ES and MS in an effort to reduce class sizes because of the inability of these students to become vaccinated and to address learning inequities as a result of COVID in our most vulnerable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