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Business Administrator. Principals, working with Department Heads, the CSE chairperson, and the Director of Student Support Services conduct needs assessments for their students and budget accordingly. The bedrock for this 'needs assessment" is the district's Strategic Plan which already has collaboratively established district goals and targets based on identified student needs. This process formally starts in October and continues through the initial budget presentations in February.  The building principals represent the needs of individual buildings and work with their department heads to formulate their budgeting needs by building. The Directors of Athletics, Transportation, Buildings and Grounds, and CSE all submit budgets for Superintendent/Business Administrator Review. The board through the Audit and Finance Committee monitors the budget development process to ensure that budget requests are in line with the district's Strategic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