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both the general fund and the ESSA, CARES, CRRSA and ARP grants are led by the central office business staff, primarily by the Treasurer, the Superintendent and Coordinator of Federal Funds. The needs of the students are translated into the budget through a collaborative approach with the school administration (Principal, Department Heads and Committee Chairs). These budget development conversations begin in December and follows the budget calendar timeline. The school board members are made aware of  program requests and budget needs, and public input is solicited at board meetings. The district aligns its process with an approved budget calendar that concludes with the public vote on the budget and the creation of the annual Title I School -Wide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Kiryas Joel Union Free School District is comprised of one (1) Public School building that services classified students of special education for students in Ungraded Elementary and Ungraded Secondary, as well as one (1) publicly funded Pre School and Kindergarten program serving students age 3 to 7 years old. The school provides supplemental services through Title I funding.  There is no formula or approach used to allocate funds to “each school” as the program and services to these students are mandated by their IEPs.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