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is lead by the district Executive Management Team - Superintendent, Assistant Superintendent and Business Manager.  The needs of students are embedded throughout the entire budget budget, particularly in the Instructional 2000's codes, but also within the facilities and Transportation as well.  The budget development process begins in November and concludes with budget vote in May.
</w:t>
      </w:r>
    </w:p>
    <w:p>
      <w:pPr>
        <w:ind w:left="720"/>
      </w:pPr>
      <w:r>
        <w:rPr>
          <w:rFonts w:ascii="Garamond" w:hAnsi="Garamond"/>
        </w:rPr>
        <w:t>B. The following employees are involved in the budget development process:  Executive Management Team, Principals, Directors, Department Chairs, Team &amp; Grade Level Leaders, Supervisors as well as input from staff.  The role of the school board is to provide budgetary focus through policy and goals.  Additionally, the BOE is responsible for approving the budget that will be voted on by the public.  Principals, Directors Team Leaders and Department Chairs represent the needs of the 3 buildings within the district (HS, MS, 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previously stated there are three building in our K-12 district and each building houses different grade levels.  The Primary School is K-3, the Middle School is 4-8 and the High School is 9-12. Each building is unique based on the ages it represents.  </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