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salaries for 22-23 were projected as if each employee worked in the same building as the previous year. The Director of Budget and Finance, Brittnay Spry, worked with Principals, Departments Heads, Chiefs and the Superintendent to determine the needs of each building (staffing, equipment, supplies and services).  Funds were then budgeted based upon need/amounts requested. Coordinators worked with department chairs to determine the departmental needs which are budgeted by building and department, accordingly.
</w:t>
      </w:r>
    </w:p>
    <w:p>
      <w:pPr>
        <w:ind w:left="720"/>
      </w:pPr>
      <w:r>
        <w:rPr>
          <w:rFonts w:ascii="Garamond" w:hAnsi="Garamond"/>
        </w:rPr>
        <w:t>
</w:t>
      </w:r>
    </w:p>
    <w:p>
      <w:pPr>
        <w:ind w:left="720"/>
      </w:pPr>
      <w:r>
        <w:rPr>
          <w:rFonts w:ascii="Garamond" w:hAnsi="Garamond"/>
        </w:rPr>
        <w:t>The Finance &amp; Budget Committee is presented with the building level detail.  Building Principals, Coordinators and Directors are notified of any budget reductions after the Finance &amp; Budget Committee has approved the budget.  This budget is then presented to the BOE during a budget work session and public hearing.  Once the entire Board approves the budget to be put before the voters, it is presented to the public on a macro level, broken down by ST-3 codes.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2022-2023 school year, the District an increase in foundation aid, as well as has received federal funding related to the COVID-19 pandemic. This has resulted in some of the large increases in the district's budget.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