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executive team of the district meets with all budget makers from November through February to define their needs for the coming school year both in regard to staffing and non-staffing areas. From these meetings, the budget is built to accommodate these identified needs to the extent possible within the constraints of available revenue sources. Each school and department makes a presentation to the board of education from October through March so that there is transparency among all stakeholders. There are many public meetings once the board of education has adopted the budget with PTAs and community groups. The only genuinely formulaic process used is for the categories of NY State materials aids (textbooks, library books, hardware, and software) which is based on the state per-pupil amount multiplied by the projected enrollment for each school.  These materials aids are a very small and insignificant portion of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recognizes that two of our eight elementary schools appear to have excess funding above the district average. However, these two schools have the district’s highest free and reduced-price lunch percentages by far, as well as high counts of students with disabilities. In keeping with the district’s vision to strive to engage all students in the importance and relevance of thinking; to educate every learner to communicate, comprehend, and collaborate for understanding; and to empower all in the ICSD to achieve academic excellence, these additional resources at our most vulnerable schools is warranted.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