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executive team of the district meets with all budget makers from November through February to define their needs for the coming school year both in regard to staffing and non-staffing areas. From these meetings, the budget is built to accommodate these identified needs to the extent possible within the constraints of available revenue sources. Each school and department makes a presentation to the board of education from October through March so that there is transparency among all stakeholders. There are many public meetings once the board of education has adopted the budget with PTAs and community groups. The only genuinely formulaic process used is for the categories of NY State materials aids (textbooks, library books, hardware, and software) which is based on the state per-pupil amount multiplied by the projected enrollment for each school.  These materials aids are a very small and insignificant portion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recognizes that two of our eight elementary schools appear to have excess funding above the district average. However, these two schools have the district’s highest free and reduced-price lunch percentages by far, as well as high counts of students with disabilities. In keeping with the district’s vision to strive to engage all students in the importance and relevance of thinking; to educate every learner to communicate, comprehend, and collaborate for understanding; and to empower all in the ICSD to achieve academic excellence, these additional resources at our most vulnerable schools is warranted.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