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operates one building per grade level giving all students in the district access to the same resources. The budget is formulated based on enrollment and the  related staffing and curriculum needs of the specific grade span for that building. There is no specific formula for allocating the funds.Staffing, the largest portion of the budget is projected based on anticipated enrollment with the goal of maintaining reasonable class sizes. All other budget requests are reviewed on a building by building basis with the goal of insuring the students have the items and services necessary to maintain programs and to adhere to current curriculum standards and district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