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November and then those amounts are submitted to the district office for review in December.  The building budget begins with the previous year’s allocation and then is increased/decreased depending on the number of students.  This incremental budget approach sets the base budget for each school.  Students’ needs such as LEP, poverty, and the number of students with disabilities are factored into overall allocations throughout the budget development process.  Class sizes, federal funding allocations, and specific building needs are also considered.  Principals submit a narrative justifying any dollar increases based on these categories.  Per student, quota amounts are established for supplies, materials, computer software, library books, textbooks, and copying costs. 
</w:t>
      </w:r>
    </w:p>
    <w:p>
      <w:pPr>
        <w:ind w:left="720"/>
      </w:pPr>
      <w:r>
        <w:rPr>
          <w:rFonts w:ascii="Garamond" w:hAnsi="Garamond"/>
        </w:rPr>
        <w:t>
</w:t>
      </w:r>
    </w:p>
    <w:p>
      <w:pPr>
        <w:ind w:left="720"/>
      </w:pPr>
      <w:r>
        <w:rPr>
          <w:rFonts w:ascii="Garamond" w:hAnsi="Garamond"/>
        </w:rPr>
        <w:t>Equipment requests are considered using a zero-based budgeting approach.  Each principal begins with zero dollars and teachers submit requests for equipment that is needed.  Funding decisions are then prioritized by the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needs of the students or staff in each building could easily impact one building per-pupil spending.  In Hudson City School District, there is only one building per student group (K-5, 6-8, 9-12).</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