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Prior to the budget process, the Superintendent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Indicators may also take into account student and staff social-emotional needs and professional development.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Equal amounts are allocated to each building.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Departments such as special education, health services, transportation, maintenance, and central administration submit separate budgets to the Superintendent for consideration, review for consistency with Board goals, and impact on student success.
</w:t>
      </w:r>
    </w:p>
    <w:p>
      <w:pPr>
        <w:ind w:left="720"/>
      </w:pPr>
      <w:r>
        <w:rPr>
          <w:rFonts w:ascii="Garamond" w:hAnsi="Garamond"/>
        </w:rPr>
        <w:t>The previous year’s budget and funding allocations to schools and departments are a general baseline for preparation of the ensuing year's budget.  Existing programs and funding are evaluated each year to determine if student needs are being met.  Funding allocations are then adjusted to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District's expected funding for the 22-23 school year includes a large increase in state aid which was mostly use to offset increased special education costs.  These funding additions caused the allocated funding per pupil under both state/local and federal to increase from prior year spending levels.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