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building principals, director of student programs and athletic director begin to develop their building/program needs for the following year in November.  While no formula is used for distributing funds district wide, the district analyzes the final budget for equity annually. Building and program leaders, work with their instructional and support staff to develop building level needs for the student programs at their buildings for the following year. These needs and requests are reviewed by the Board of Education in December and January.  The district develops a tentative budget for the following year in January and February.  The budget is reviewed at public meetings in February, March and April, where public comment and input is sought. The district  discusses the budget staffing implications with bargaining units in January and April.  A budget hearing is conducted for the public, where a line by line appropriations for the following years budget is available to all to review and comment on prior to vote, generally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Since the district is composed of only having one Elementary and one High school, the primary driver of differences in per pupil spending is driven differences between the Elementary and High school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