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building principals, director of student programs and athletic director begin to develop their building/program needs for the following year in November.  While no formula is used for distributing funds district wide, the district analyzes the final budget for equity annually. Building and program leaders, work with their instructional and support staff to develop building level needs for the student programs at their buildings for the following year. These needs and requests are reviewed by the Board of Education in December and January.  The district develops a tentative budget for the following year in January and February.  The budget is reviewed at public meetings in February, March and April, where public comment and input is sought. The district  discusses the budget staffing implications with bargaining units in January and April.  A budget hearing is conducted for the public, where a line by line appropriations for the following years budget is available to all to review and comment on prior to vote, generally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the district is composed of only having one Elementary and one High school, the primary driver of differences in per pupil spending is driven differences between the Elementary and High school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