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Additional district level employees are involved including  Assistant Superintendents from each department, Directors, and Building Level Administrators.  (Within the buildings additional feedback is received from teachers)   For some of the budgeted items (example:  supplies and materials)  individual allotments are given based on a per teacher basis.  This is only for selected budget items though and others such as salaries are allotted at the centralized level.  There is no weighting differences for student types.   The needs of the students are incorporated into the process by meeting with each building level administrative team to go over needs along with the Director of Special Education Services and the Director of ELL Services.     While the budget development process occurs all year long as needs are identified,  the formal process begins in the late fall and extends into the spring before the budget vote.   During the budget process, the COVID impact on facilities and the educational and social/emotional needs of students were included in the budget process as well.  
</w:t>
      </w:r>
    </w:p>
    <w:p>
      <w:pPr>
        <w:ind w:left="720"/>
      </w:pPr>
      <w:r>
        <w:rPr>
          <w:rFonts w:ascii="Garamond" w:hAnsi="Garamond"/>
        </w:rPr>
        <w:t>Formal BOE presentations begin at or around the end of December and continue every BOE meeting until the budget is formally adopted by the BOE prior to the legal due dates.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do not see any significant differences.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