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Funds are allocated to buildings during the budget process, which typically starts by the end of January. The Assistant Superintendent of Administrative Services and Finance schedules a series of meetings with the building principals and department heads. Historical data as well as year to date expenditures are analyzed and discussed. Preliminary allocations are determined by the number of learners in each building, providing an equitable starting point. Discussions following including requested changes including the needs of the building population, both academically and social emotionally. Building demographics are also taken into consideration to determine students' learning needs. Physical plant needs are discussed including supplies, repairs and equipment. One-time purchases are reviewed and discussed to make a determination regarding sustainability. Initiatives are prioritized with the assistance of the Office of Curriculum &amp; Instruction to ensure requests are in align with the District's Strategic Plan and Mission, Vision &amp; Core Values adopted by the Board of Education. Determinations are made collaboratively, taking into consideration anticipation revenues. This process usually is completed by mid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the report indicates, our PreK program is at Charlotte Avenue. Consistently, this school has a lower than average pupil spending. Due to the number of preschool students added to the K-5, the per pupil cost is lowered, while the spending for similar sized elementary schools is consistent.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